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9D" w:rsidRPr="009E64F7" w:rsidRDefault="0095419D" w:rsidP="0095419D">
      <w:pPr>
        <w:jc w:val="center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Diário Oficial do Estado de São Paulo – Seção I</w:t>
      </w:r>
    </w:p>
    <w:p w:rsidR="0095419D" w:rsidRPr="009E64F7" w:rsidRDefault="0095419D" w:rsidP="0095419D">
      <w:pPr>
        <w:jc w:val="center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Volume 133 • Número 41 • São Paulo, terça-feira, 28 de fevereiro de 2023</w:t>
      </w:r>
    </w:p>
    <w:p w:rsidR="0095419D" w:rsidRPr="0095419D" w:rsidRDefault="0095419D" w:rsidP="0095419D">
      <w:pPr>
        <w:jc w:val="center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DECRETO</w:t>
      </w:r>
    </w:p>
    <w:p w:rsidR="0095419D" w:rsidRPr="0095419D" w:rsidRDefault="0095419D" w:rsidP="0095419D">
      <w:pPr>
        <w:jc w:val="center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 xml:space="preserve">DECRETO Nº </w:t>
      </w:r>
      <w:bookmarkStart w:id="0" w:name="_GoBack"/>
      <w:r w:rsidRPr="0095419D">
        <w:rPr>
          <w:rFonts w:ascii="Arial" w:hAnsi="Arial" w:cs="Arial"/>
          <w:sz w:val="24"/>
          <w:szCs w:val="24"/>
        </w:rPr>
        <w:t>67.521</w:t>
      </w:r>
      <w:bookmarkEnd w:id="0"/>
      <w:r w:rsidRPr="009541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DE 27 DE FEVEREIRO DE 2023</w:t>
      </w:r>
    </w:p>
    <w:p w:rsidR="0095419D" w:rsidRPr="0095419D" w:rsidRDefault="0095419D" w:rsidP="0095419D">
      <w:pPr>
        <w:ind w:left="3402"/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Introduz alteração no Regulamento do Imposto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sobre Operações Relativas à Circulação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Mercadorias e sobre Prestações de Serviços de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Transporte Interestadual e Intermunicipal e de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Comunicação - RICMS.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TARCÍSIO DE FREITAS, Governador do Estado de São Paulo,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no uso de suas atribuições legais e tendo em vista o disposto no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§ 8º do artigo 3º da Lei Complementar n° 160, de 7 de agosto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de 2017, na cláusula décima terceira do Convênio ICMS 190/17,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de 15 de dezembro de 2017, e no artigo 8º-C da Lei nº 6.763, de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26 de dezembro de 1975, editada pelo Estado de Minas Gerais,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Decreta: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Artigo 1º - Os dispositivos adiante indicados do artigo 166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do Anexo I do Regulamento do Imposto sobre Operações Relativas à Circulação de Mercadorias e sobre Prestações de Serviços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de Transporte Interestadual e Intermunicipal e de Comunicação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- RICMS, aprovado pelo Decreto nº 45.490, de 30 de novembro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de 2000, passam a vigorar com a seguinte redação: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95419D">
        <w:rPr>
          <w:rFonts w:ascii="Arial" w:hAnsi="Arial" w:cs="Arial"/>
          <w:sz w:val="24"/>
          <w:szCs w:val="24"/>
        </w:rPr>
        <w:t>o</w:t>
      </w:r>
      <w:proofErr w:type="gramEnd"/>
      <w:r w:rsidRPr="0095419D">
        <w:rPr>
          <w:rFonts w:ascii="Arial" w:hAnsi="Arial" w:cs="Arial"/>
          <w:sz w:val="24"/>
          <w:szCs w:val="24"/>
        </w:rPr>
        <w:t xml:space="preserve"> "caput":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"Artigo 166 (ENERGIA ELÉTRICA - MICROGERADORES 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MINIGERADORES) - Operações internas de saída de energia elétrica realizadas por empresa distribuidora com destino a unidade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consumidora, na quantidade correspondente à soma da energia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elétrica injetada na rede de distribuição com os créditos de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energia ativa originados na própria unidade consumidora ou em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outra unidade consumidora do mesmo titular, no mesmo mês ou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em meses anteriores, desde que o responsável pela unidade consumidora tenha aderido ao Sistema de Compensação de Energia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Elétrica, estabelecido pela Resolução Normativa ANEEL nº 482,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de 17 de abril de 2012 (Convênios ICMS16/15 e 190/17)."; (NR)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II - o item 1 do § 1º: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"1 - aplica-se somente à compensação de energia elétrica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 xml:space="preserve">produzida por </w:t>
      </w:r>
      <w:proofErr w:type="spellStart"/>
      <w:r w:rsidRPr="0095419D">
        <w:rPr>
          <w:rFonts w:ascii="Arial" w:hAnsi="Arial" w:cs="Arial"/>
          <w:sz w:val="24"/>
          <w:szCs w:val="24"/>
        </w:rPr>
        <w:t>microgeração</w:t>
      </w:r>
      <w:proofErr w:type="spellEnd"/>
      <w:r w:rsidRPr="0095419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5419D">
        <w:rPr>
          <w:rFonts w:ascii="Arial" w:hAnsi="Arial" w:cs="Arial"/>
          <w:sz w:val="24"/>
          <w:szCs w:val="24"/>
        </w:rPr>
        <w:t>minigeração</w:t>
      </w:r>
      <w:proofErr w:type="spellEnd"/>
      <w:r w:rsidRPr="0095419D">
        <w:rPr>
          <w:rFonts w:ascii="Arial" w:hAnsi="Arial" w:cs="Arial"/>
          <w:sz w:val="24"/>
          <w:szCs w:val="24"/>
        </w:rPr>
        <w:t xml:space="preserve"> definidas na resolução normativa referida no "caput", cuja potência instalada seja,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respectivamente, menor ou igual a 75 kW e superior a 75 kW 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menor ou igual a 5 MW;". (NR)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Artigo 2° - Fica acrescentado ao artigo 166 do Anexo I do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Regulamento do Imposto sobre Operações Relativas à Circulação de Mercadorias e sobre Prestações de Serviços de Transporte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Interestadual e Intermunicipal e de Comunicação - RICMS, aprovado pelo Decreto nº 45.490, de 30 de novembro de 2000, o §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1º-A, com a seguinte redação: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lastRenderedPageBreak/>
        <w:t>"§ 1º-A - Poderão aderir ao Sistema de Compensação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de Energia Elétrica de que trata o "caput" os consumidores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 xml:space="preserve">responsáveis por unidade consumidora com </w:t>
      </w:r>
      <w:proofErr w:type="spellStart"/>
      <w:r w:rsidRPr="0095419D">
        <w:rPr>
          <w:rFonts w:ascii="Arial" w:hAnsi="Arial" w:cs="Arial"/>
          <w:sz w:val="24"/>
          <w:szCs w:val="24"/>
        </w:rPr>
        <w:t>microgeração</w:t>
      </w:r>
      <w:proofErr w:type="spellEnd"/>
      <w:r w:rsidRPr="0095419D">
        <w:rPr>
          <w:rFonts w:ascii="Arial" w:hAnsi="Arial" w:cs="Arial"/>
          <w:sz w:val="24"/>
          <w:szCs w:val="24"/>
        </w:rPr>
        <w:t xml:space="preserve"> ou</w:t>
      </w:r>
      <w:r w:rsidRPr="009541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19D">
        <w:rPr>
          <w:rFonts w:ascii="Arial" w:hAnsi="Arial" w:cs="Arial"/>
          <w:sz w:val="24"/>
          <w:szCs w:val="24"/>
        </w:rPr>
        <w:t>minigeração</w:t>
      </w:r>
      <w:proofErr w:type="spellEnd"/>
      <w:r w:rsidRPr="0095419D">
        <w:rPr>
          <w:rFonts w:ascii="Arial" w:hAnsi="Arial" w:cs="Arial"/>
          <w:sz w:val="24"/>
          <w:szCs w:val="24"/>
        </w:rPr>
        <w:t xml:space="preserve"> distribuída de energia solar fotovoltaica que se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enquadre em uma das seguintes categorias: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 xml:space="preserve">1 - </w:t>
      </w:r>
      <w:proofErr w:type="gramStart"/>
      <w:r w:rsidRPr="0095419D">
        <w:rPr>
          <w:rFonts w:ascii="Arial" w:hAnsi="Arial" w:cs="Arial"/>
          <w:sz w:val="24"/>
          <w:szCs w:val="24"/>
        </w:rPr>
        <w:t>unidade</w:t>
      </w:r>
      <w:proofErr w:type="gramEnd"/>
      <w:r w:rsidRPr="0095419D">
        <w:rPr>
          <w:rFonts w:ascii="Arial" w:hAnsi="Arial" w:cs="Arial"/>
          <w:sz w:val="24"/>
          <w:szCs w:val="24"/>
        </w:rPr>
        <w:t xml:space="preserve"> consumidora integrante de empreendimento de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múltiplas unidades consumidoras;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 xml:space="preserve">2 - </w:t>
      </w:r>
      <w:proofErr w:type="gramStart"/>
      <w:r w:rsidRPr="0095419D">
        <w:rPr>
          <w:rFonts w:ascii="Arial" w:hAnsi="Arial" w:cs="Arial"/>
          <w:sz w:val="24"/>
          <w:szCs w:val="24"/>
        </w:rPr>
        <w:t>unidade</w:t>
      </w:r>
      <w:proofErr w:type="gramEnd"/>
      <w:r w:rsidRPr="0095419D">
        <w:rPr>
          <w:rFonts w:ascii="Arial" w:hAnsi="Arial" w:cs="Arial"/>
          <w:sz w:val="24"/>
          <w:szCs w:val="24"/>
        </w:rPr>
        <w:t xml:space="preserve"> consumidora caracterizada como de geração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compartilhada;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95419D">
        <w:rPr>
          <w:rFonts w:ascii="Arial" w:hAnsi="Arial" w:cs="Arial"/>
          <w:sz w:val="24"/>
          <w:szCs w:val="24"/>
        </w:rPr>
        <w:t>unidade</w:t>
      </w:r>
      <w:proofErr w:type="gramEnd"/>
      <w:r w:rsidRPr="0095419D">
        <w:rPr>
          <w:rFonts w:ascii="Arial" w:hAnsi="Arial" w:cs="Arial"/>
          <w:sz w:val="24"/>
          <w:szCs w:val="24"/>
        </w:rPr>
        <w:t xml:space="preserve"> consumidora caracterizada como de autoconsumo remoto.".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Artigo 3° - Este decreto entra em vigor na data de sua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publicação, produzindo efeitos a partir do primeiro dia do mês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subsequente ao da publicação.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Palácio dos Bandeirantes, 27 de fevereiro de 2023.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TARCÍSIO DE FREITAS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Arthur Luis Pinho de Lima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Secretário-Chefe da Casa Civil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95419D">
        <w:rPr>
          <w:rFonts w:ascii="Arial" w:hAnsi="Arial" w:cs="Arial"/>
          <w:sz w:val="24"/>
          <w:szCs w:val="24"/>
        </w:rPr>
        <w:t>Kinoshita</w:t>
      </w:r>
      <w:proofErr w:type="spellEnd"/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Secretário da Fazenda e Planejamento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Gilberto Kassab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Secretário de Governo e Relações Institucionais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Publicado na Casa Civil, aos 27 de fevereiro de 2023.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OFÍCIO GS-SRE Nº 032/2023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Senhor Governador,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Tenho a honra de encaminhar a Vossa Excelência a inclusa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minuta de decreto que introduz alterações no Regulamento do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Imposto sobre Operações Relativas à Circulação de Mercadorias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e sobre Prestações de Serviços de Transporte Interestadual 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Intermunicipal e de Comunicação - RICMS, aprovado pelo Decreto 45.490, de 30 de novembro de 2000.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A presente proposta visa estender a aplicação da isenção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prevista no artigo 166 do Anexo I do RICMS, que beneficia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19D">
        <w:rPr>
          <w:rFonts w:ascii="Arial" w:hAnsi="Arial" w:cs="Arial"/>
          <w:sz w:val="24"/>
          <w:szCs w:val="24"/>
        </w:rPr>
        <w:t>microgeradores</w:t>
      </w:r>
      <w:proofErr w:type="spellEnd"/>
      <w:r w:rsidRPr="0095419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5419D">
        <w:rPr>
          <w:rFonts w:ascii="Arial" w:hAnsi="Arial" w:cs="Arial"/>
          <w:sz w:val="24"/>
          <w:szCs w:val="24"/>
        </w:rPr>
        <w:t>minigeradores</w:t>
      </w:r>
      <w:proofErr w:type="spellEnd"/>
      <w:r w:rsidRPr="0095419D">
        <w:rPr>
          <w:rFonts w:ascii="Arial" w:hAnsi="Arial" w:cs="Arial"/>
          <w:sz w:val="24"/>
          <w:szCs w:val="24"/>
        </w:rPr>
        <w:t xml:space="preserve"> de energia elétrica, a outras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modalidades de geração distribuída (geração compartilhada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e autoconsumo remoto), bem como a centrais geradoras de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energia elétrica solar fotovoltaica com potência instalada de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até 5 MW.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Com essas justificativas e propondo a edição de decreto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conforme a minuta, aproveito o ensejo para reiterar-lhe meus</w:t>
      </w:r>
      <w:r>
        <w:rPr>
          <w:rFonts w:ascii="Arial" w:hAnsi="Arial" w:cs="Arial"/>
          <w:sz w:val="24"/>
          <w:szCs w:val="24"/>
        </w:rPr>
        <w:t xml:space="preserve"> </w:t>
      </w:r>
      <w:r w:rsidRPr="0095419D">
        <w:rPr>
          <w:rFonts w:ascii="Arial" w:hAnsi="Arial" w:cs="Arial"/>
          <w:sz w:val="24"/>
          <w:szCs w:val="24"/>
        </w:rPr>
        <w:t>protestos de estima e alta consideração.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95419D">
        <w:rPr>
          <w:rFonts w:ascii="Arial" w:hAnsi="Arial" w:cs="Arial"/>
          <w:sz w:val="24"/>
          <w:szCs w:val="24"/>
        </w:rPr>
        <w:t>Kinoshita</w:t>
      </w:r>
      <w:proofErr w:type="spellEnd"/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Secretário da Fazenda e Planejamento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lastRenderedPageBreak/>
        <w:t>À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Sua Excelência o Senhor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TARCÍSIO DE FREITAS</w:t>
      </w:r>
    </w:p>
    <w:p w:rsidR="0095419D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Governador do Estado de São Paulo</w:t>
      </w:r>
    </w:p>
    <w:p w:rsidR="00440B51" w:rsidRPr="0095419D" w:rsidRDefault="0095419D" w:rsidP="0095419D">
      <w:pPr>
        <w:jc w:val="both"/>
        <w:rPr>
          <w:rFonts w:ascii="Arial" w:hAnsi="Arial" w:cs="Arial"/>
          <w:sz w:val="24"/>
          <w:szCs w:val="24"/>
        </w:rPr>
      </w:pPr>
      <w:r w:rsidRPr="0095419D">
        <w:rPr>
          <w:rFonts w:ascii="Arial" w:hAnsi="Arial" w:cs="Arial"/>
          <w:sz w:val="24"/>
          <w:szCs w:val="24"/>
        </w:rPr>
        <w:t>Palácio dos Bandeirantes</w:t>
      </w:r>
    </w:p>
    <w:sectPr w:rsidR="00440B51" w:rsidRPr="00954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D"/>
    <w:rsid w:val="00440B51"/>
    <w:rsid w:val="0095419D"/>
    <w:rsid w:val="00D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333F"/>
  <w15:chartTrackingRefBased/>
  <w15:docId w15:val="{C1803F00-B6C4-4299-84C5-3CD2396D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</dc:creator>
  <cp:keywords/>
  <dc:description/>
  <cp:lastModifiedBy>Edilene Gomes</cp:lastModifiedBy>
  <cp:revision>1</cp:revision>
  <dcterms:created xsi:type="dcterms:W3CDTF">2023-02-28T12:51:00Z</dcterms:created>
  <dcterms:modified xsi:type="dcterms:W3CDTF">2023-02-28T12:56:00Z</dcterms:modified>
</cp:coreProperties>
</file>