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66" w:rsidRPr="00915B66" w:rsidRDefault="00915B66" w:rsidP="00915B6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15B66">
        <w:rPr>
          <w:rFonts w:ascii="Arial" w:hAnsi="Arial" w:cs="Arial"/>
          <w:sz w:val="24"/>
          <w:szCs w:val="24"/>
          <w:shd w:val="clear" w:color="auto" w:fill="FFFFFF"/>
        </w:rPr>
        <w:t>Diário Oficial do Estado de São Paulo</w:t>
      </w:r>
    </w:p>
    <w:p w:rsidR="00915B66" w:rsidRDefault="00915B66" w:rsidP="00915B6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15B66">
        <w:rPr>
          <w:rFonts w:ascii="Arial" w:hAnsi="Arial" w:cs="Arial"/>
          <w:sz w:val="24"/>
          <w:szCs w:val="24"/>
          <w:shd w:val="clear" w:color="auto" w:fill="FFFFFF"/>
        </w:rPr>
        <w:t>Volume 133   •   Número 56   •   São Paulo, sábado, 18 de março de 2023</w:t>
      </w:r>
    </w:p>
    <w:p w:rsidR="00915B66" w:rsidRPr="00915B66" w:rsidRDefault="00915B66" w:rsidP="00915B66">
      <w:pPr>
        <w:jc w:val="center"/>
        <w:rPr>
          <w:rFonts w:ascii="Arial" w:hAnsi="Arial" w:cs="Arial"/>
          <w:sz w:val="24"/>
          <w:szCs w:val="24"/>
        </w:rPr>
      </w:pPr>
    </w:p>
    <w:p w:rsidR="00915B66" w:rsidRPr="00915B66" w:rsidRDefault="00915B66" w:rsidP="00915B66">
      <w:pPr>
        <w:jc w:val="center"/>
        <w:rPr>
          <w:rFonts w:ascii="Arial" w:hAnsi="Arial" w:cs="Arial"/>
          <w:sz w:val="24"/>
          <w:szCs w:val="24"/>
        </w:rPr>
      </w:pPr>
      <w:r w:rsidRPr="00915B66">
        <w:rPr>
          <w:rFonts w:ascii="Arial" w:hAnsi="Arial" w:cs="Arial"/>
          <w:sz w:val="24"/>
          <w:szCs w:val="24"/>
        </w:rPr>
        <w:t>FAZENDA E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PLANEJAMENTO</w:t>
      </w:r>
    </w:p>
    <w:p w:rsidR="00915B66" w:rsidRDefault="00915B66" w:rsidP="00915B66">
      <w:pPr>
        <w:jc w:val="center"/>
        <w:rPr>
          <w:rFonts w:ascii="Arial" w:hAnsi="Arial" w:cs="Arial"/>
          <w:sz w:val="24"/>
          <w:szCs w:val="24"/>
        </w:rPr>
      </w:pPr>
    </w:p>
    <w:p w:rsidR="00915B66" w:rsidRDefault="00915B66" w:rsidP="00915B66">
      <w:pPr>
        <w:jc w:val="center"/>
        <w:rPr>
          <w:rFonts w:ascii="Arial" w:hAnsi="Arial" w:cs="Arial"/>
          <w:sz w:val="24"/>
          <w:szCs w:val="24"/>
        </w:rPr>
      </w:pPr>
      <w:r w:rsidRPr="00915B66">
        <w:rPr>
          <w:rFonts w:ascii="Arial" w:hAnsi="Arial" w:cs="Arial"/>
          <w:sz w:val="24"/>
          <w:szCs w:val="24"/>
        </w:rPr>
        <w:t>GABINETE DO SECRETÁRIO</w:t>
      </w:r>
    </w:p>
    <w:p w:rsidR="00915B66" w:rsidRPr="00915B66" w:rsidRDefault="00915B66" w:rsidP="00915B66">
      <w:pPr>
        <w:jc w:val="center"/>
        <w:rPr>
          <w:rFonts w:ascii="Arial" w:hAnsi="Arial" w:cs="Arial"/>
          <w:sz w:val="24"/>
          <w:szCs w:val="24"/>
        </w:rPr>
      </w:pPr>
      <w:r w:rsidRPr="00915B66">
        <w:rPr>
          <w:rFonts w:ascii="Arial" w:hAnsi="Arial" w:cs="Arial"/>
          <w:sz w:val="24"/>
          <w:szCs w:val="24"/>
        </w:rPr>
        <w:t>RESOLUÇÃO SFP- 14, DE 17-03-2023.</w:t>
      </w:r>
    </w:p>
    <w:p w:rsidR="00915B66" w:rsidRDefault="00915B66" w:rsidP="00915B66">
      <w:pPr>
        <w:ind w:left="3402"/>
        <w:jc w:val="both"/>
        <w:rPr>
          <w:rFonts w:ascii="Arial" w:hAnsi="Arial" w:cs="Arial"/>
          <w:sz w:val="24"/>
          <w:szCs w:val="24"/>
        </w:rPr>
      </w:pPr>
      <w:r w:rsidRPr="00915B66">
        <w:rPr>
          <w:rFonts w:ascii="Arial" w:hAnsi="Arial" w:cs="Arial"/>
          <w:sz w:val="24"/>
          <w:szCs w:val="24"/>
        </w:rPr>
        <w:t>Dispõe sobre a 6ª Rodada de Autorização para Transferência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de Crédito Acumulado no âmbito do Programa de Ampliação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Liquidez de Créditos a Contribuintes com Histórico de Aquisições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 xml:space="preserve">de Bens Destinados ao Ativo Imobilizado – </w:t>
      </w:r>
      <w:proofErr w:type="spellStart"/>
      <w:r w:rsidRPr="00915B66">
        <w:rPr>
          <w:rFonts w:ascii="Arial" w:hAnsi="Arial" w:cs="Arial"/>
          <w:sz w:val="24"/>
          <w:szCs w:val="24"/>
        </w:rPr>
        <w:t>ProAtivo</w:t>
      </w:r>
      <w:proofErr w:type="spellEnd"/>
      <w:r w:rsidRPr="00915B66">
        <w:rPr>
          <w:rFonts w:ascii="Arial" w:hAnsi="Arial" w:cs="Arial"/>
          <w:sz w:val="24"/>
          <w:szCs w:val="24"/>
        </w:rPr>
        <w:t>.</w:t>
      </w:r>
    </w:p>
    <w:p w:rsidR="00915B66" w:rsidRPr="00915B66" w:rsidRDefault="00915B66" w:rsidP="00915B66">
      <w:pPr>
        <w:ind w:left="3402"/>
        <w:jc w:val="both"/>
        <w:rPr>
          <w:rFonts w:ascii="Arial" w:hAnsi="Arial" w:cs="Arial"/>
          <w:sz w:val="24"/>
          <w:szCs w:val="24"/>
        </w:rPr>
      </w:pPr>
    </w:p>
    <w:p w:rsidR="00915B66" w:rsidRPr="00915B66" w:rsidRDefault="00915B66" w:rsidP="00915B66">
      <w:pPr>
        <w:jc w:val="both"/>
        <w:rPr>
          <w:rFonts w:ascii="Arial" w:hAnsi="Arial" w:cs="Arial"/>
          <w:sz w:val="24"/>
          <w:szCs w:val="24"/>
        </w:rPr>
      </w:pPr>
      <w:r w:rsidRPr="00915B66">
        <w:rPr>
          <w:rFonts w:ascii="Arial" w:hAnsi="Arial" w:cs="Arial"/>
          <w:sz w:val="24"/>
          <w:szCs w:val="24"/>
        </w:rPr>
        <w:t>O SECRETÁRIO DA FAZENDA E PLANEJAMENTO, tendo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em vista o disposto no parágrafo único do artigo 84 do Regulamento do Imposto sobre Operações Relativas à Circulação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de Mercadorias e sobre Prestações de Serviços de Transporte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 xml:space="preserve">Interestadual e Intermunicipal e de Comunicação - RICMS, aprovado pelo </w:t>
      </w:r>
      <w:hyperlink r:id="rId4" w:history="1">
        <w:r w:rsidRPr="008933BC">
          <w:rPr>
            <w:rStyle w:val="Hyperlink"/>
            <w:rFonts w:ascii="Arial" w:hAnsi="Arial" w:cs="Arial"/>
            <w:sz w:val="24"/>
            <w:szCs w:val="24"/>
          </w:rPr>
          <w:t>Decreto 45.490, de 30 de novembro de 2000</w:t>
        </w:r>
      </w:hyperlink>
      <w:bookmarkStart w:id="0" w:name="_GoBack"/>
      <w:bookmarkEnd w:id="0"/>
      <w:r w:rsidRPr="00915B66">
        <w:rPr>
          <w:rFonts w:ascii="Arial" w:hAnsi="Arial" w:cs="Arial"/>
          <w:sz w:val="24"/>
          <w:szCs w:val="24"/>
        </w:rPr>
        <w:t>, e na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Resolução SFP 67/21, de 29 de dezembro de 2021,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RESOLVE:</w:t>
      </w:r>
    </w:p>
    <w:p w:rsidR="00915B66" w:rsidRPr="00915B66" w:rsidRDefault="00915B66" w:rsidP="00915B66">
      <w:pPr>
        <w:jc w:val="both"/>
        <w:rPr>
          <w:rFonts w:ascii="Arial" w:hAnsi="Arial" w:cs="Arial"/>
          <w:sz w:val="24"/>
          <w:szCs w:val="24"/>
        </w:rPr>
      </w:pPr>
      <w:r w:rsidRPr="00915B66">
        <w:rPr>
          <w:rFonts w:ascii="Arial" w:hAnsi="Arial" w:cs="Arial"/>
          <w:sz w:val="24"/>
          <w:szCs w:val="24"/>
        </w:rPr>
        <w:t>Artigo 1º - A 6ª Rodada de Autorização de Transferências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de Crédito Acumulado no âmbito do Programa de Ampliação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 xml:space="preserve">de Liquidez de Créditos a Contribuintes com Histórico de Aquisições de Bens Destinados ao Ativo Imobilizado – </w:t>
      </w:r>
      <w:proofErr w:type="spellStart"/>
      <w:r w:rsidRPr="00915B66">
        <w:rPr>
          <w:rFonts w:ascii="Arial" w:hAnsi="Arial" w:cs="Arial"/>
          <w:sz w:val="24"/>
          <w:szCs w:val="24"/>
        </w:rPr>
        <w:t>ProAtivo</w:t>
      </w:r>
      <w:proofErr w:type="spellEnd"/>
      <w:r w:rsidRPr="00915B66">
        <w:rPr>
          <w:rFonts w:ascii="Arial" w:hAnsi="Arial" w:cs="Arial"/>
          <w:sz w:val="24"/>
          <w:szCs w:val="24"/>
        </w:rPr>
        <w:t xml:space="preserve"> será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realizada no período de 20 de março de 2023 a 30 de novembro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de 2023.</w:t>
      </w:r>
    </w:p>
    <w:p w:rsidR="00915B66" w:rsidRPr="00915B66" w:rsidRDefault="00915B66" w:rsidP="00915B66">
      <w:pPr>
        <w:jc w:val="both"/>
        <w:rPr>
          <w:rFonts w:ascii="Arial" w:hAnsi="Arial" w:cs="Arial"/>
          <w:sz w:val="24"/>
          <w:szCs w:val="24"/>
        </w:rPr>
      </w:pPr>
      <w:r w:rsidRPr="00915B66">
        <w:rPr>
          <w:rFonts w:ascii="Arial" w:hAnsi="Arial" w:cs="Arial"/>
          <w:sz w:val="24"/>
          <w:szCs w:val="24"/>
        </w:rPr>
        <w:t xml:space="preserve">§ 1º - O Limite Global de valores passíveis de autorização para transferência na 6ª Rodada do </w:t>
      </w:r>
      <w:proofErr w:type="spellStart"/>
      <w:r w:rsidRPr="00915B66">
        <w:rPr>
          <w:rFonts w:ascii="Arial" w:hAnsi="Arial" w:cs="Arial"/>
          <w:sz w:val="24"/>
          <w:szCs w:val="24"/>
        </w:rPr>
        <w:t>ProAtivo</w:t>
      </w:r>
      <w:proofErr w:type="spellEnd"/>
      <w:r w:rsidRPr="00915B66">
        <w:rPr>
          <w:rFonts w:ascii="Arial" w:hAnsi="Arial" w:cs="Arial"/>
          <w:sz w:val="24"/>
          <w:szCs w:val="24"/>
        </w:rPr>
        <w:t xml:space="preserve"> será de R$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400.000.000,00 (quatrocentos milhões de reais).</w:t>
      </w:r>
    </w:p>
    <w:p w:rsidR="00915B66" w:rsidRPr="00915B66" w:rsidRDefault="00915B66" w:rsidP="00915B66">
      <w:pPr>
        <w:jc w:val="both"/>
        <w:rPr>
          <w:rFonts w:ascii="Arial" w:hAnsi="Arial" w:cs="Arial"/>
          <w:sz w:val="24"/>
          <w:szCs w:val="24"/>
        </w:rPr>
      </w:pPr>
      <w:r w:rsidRPr="00915B66">
        <w:rPr>
          <w:rFonts w:ascii="Arial" w:hAnsi="Arial" w:cs="Arial"/>
          <w:sz w:val="24"/>
          <w:szCs w:val="24"/>
        </w:rPr>
        <w:t>§ 2º - A Subsecretaria da Receita Estadual, além do Limite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Global previsto no § 1º, deverá limitar os valores autorizados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ao montante mensal de R$ 140.000.000,00 (cento e quarenta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milhões de reais).</w:t>
      </w:r>
    </w:p>
    <w:p w:rsidR="00915B66" w:rsidRPr="00915B66" w:rsidRDefault="00915B66" w:rsidP="00915B66">
      <w:pPr>
        <w:jc w:val="both"/>
        <w:rPr>
          <w:rFonts w:ascii="Arial" w:hAnsi="Arial" w:cs="Arial"/>
          <w:sz w:val="24"/>
          <w:szCs w:val="24"/>
        </w:rPr>
      </w:pPr>
      <w:r w:rsidRPr="00915B66">
        <w:rPr>
          <w:rFonts w:ascii="Arial" w:hAnsi="Arial" w:cs="Arial"/>
          <w:sz w:val="24"/>
          <w:szCs w:val="24"/>
        </w:rPr>
        <w:t>§ 3º - Eventuais saldos não utilizados do montante mensal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previsto no § 2º poderão ser acrescidos aos meses subsequentes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para fins de definição do cronograma de autorizações.</w:t>
      </w:r>
    </w:p>
    <w:p w:rsidR="00915B66" w:rsidRPr="00915B66" w:rsidRDefault="00915B66" w:rsidP="00915B66">
      <w:pPr>
        <w:jc w:val="both"/>
        <w:rPr>
          <w:rFonts w:ascii="Arial" w:hAnsi="Arial" w:cs="Arial"/>
          <w:sz w:val="24"/>
          <w:szCs w:val="24"/>
        </w:rPr>
      </w:pPr>
      <w:r w:rsidRPr="00915B66">
        <w:rPr>
          <w:rFonts w:ascii="Arial" w:hAnsi="Arial" w:cs="Arial"/>
          <w:sz w:val="24"/>
          <w:szCs w:val="24"/>
        </w:rPr>
        <w:t>Artigo 2º - Na rodada de autorização de que trata esta resolução, a Subsecretaria da Receita Estadual, para efeito da forma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 xml:space="preserve">de cálculo do Limite </w:t>
      </w:r>
      <w:proofErr w:type="spellStart"/>
      <w:r w:rsidRPr="00915B66">
        <w:rPr>
          <w:rFonts w:ascii="Arial" w:hAnsi="Arial" w:cs="Arial"/>
          <w:sz w:val="24"/>
          <w:szCs w:val="24"/>
        </w:rPr>
        <w:t>ProAtivo</w:t>
      </w:r>
      <w:proofErr w:type="spellEnd"/>
      <w:r w:rsidRPr="00915B66">
        <w:rPr>
          <w:rFonts w:ascii="Arial" w:hAnsi="Arial" w:cs="Arial"/>
          <w:sz w:val="24"/>
          <w:szCs w:val="24"/>
        </w:rPr>
        <w:t>, adotará critério que considere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subsidiariamente como valor das aquisições de bens destinados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ao ativo imobilizado uma proporção mínima do valor das compras internas e importações diretas da empresa.</w:t>
      </w:r>
    </w:p>
    <w:p w:rsidR="00915B66" w:rsidRPr="00915B66" w:rsidRDefault="00915B66" w:rsidP="00915B66">
      <w:pPr>
        <w:jc w:val="both"/>
        <w:rPr>
          <w:rFonts w:ascii="Arial" w:hAnsi="Arial" w:cs="Arial"/>
          <w:sz w:val="24"/>
          <w:szCs w:val="24"/>
        </w:rPr>
      </w:pPr>
      <w:r w:rsidRPr="00915B66">
        <w:rPr>
          <w:rFonts w:ascii="Arial" w:hAnsi="Arial" w:cs="Arial"/>
          <w:sz w:val="24"/>
          <w:szCs w:val="24"/>
        </w:rPr>
        <w:lastRenderedPageBreak/>
        <w:t xml:space="preserve">Parágrafo único – No cálculo do Limite </w:t>
      </w:r>
      <w:proofErr w:type="spellStart"/>
      <w:r w:rsidRPr="00915B66">
        <w:rPr>
          <w:rFonts w:ascii="Arial" w:hAnsi="Arial" w:cs="Arial"/>
          <w:sz w:val="24"/>
          <w:szCs w:val="24"/>
        </w:rPr>
        <w:t>ProAtivo</w:t>
      </w:r>
      <w:proofErr w:type="spellEnd"/>
      <w:r w:rsidRPr="00915B66">
        <w:rPr>
          <w:rFonts w:ascii="Arial" w:hAnsi="Arial" w:cs="Arial"/>
          <w:sz w:val="24"/>
          <w:szCs w:val="24"/>
        </w:rPr>
        <w:t xml:space="preserve"> não será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aplicado o disposto na alínea “d” do inciso IV do artigo 3º da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Resolução SFP 67/21, de 29 de dezembro de 2021, em relação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aos valores autorizados nas rodadas iniciadas em 2022.</w:t>
      </w:r>
    </w:p>
    <w:p w:rsidR="00440B51" w:rsidRPr="00915B66" w:rsidRDefault="00915B66" w:rsidP="00915B66">
      <w:pPr>
        <w:jc w:val="both"/>
        <w:rPr>
          <w:rFonts w:ascii="Arial" w:hAnsi="Arial" w:cs="Arial"/>
          <w:sz w:val="24"/>
          <w:szCs w:val="24"/>
        </w:rPr>
      </w:pPr>
      <w:r w:rsidRPr="00915B66">
        <w:rPr>
          <w:rFonts w:ascii="Arial" w:hAnsi="Arial" w:cs="Arial"/>
          <w:sz w:val="24"/>
          <w:szCs w:val="24"/>
        </w:rPr>
        <w:t>Artigo 3º - Esta resolução entra em vigor na data de sua</w:t>
      </w:r>
      <w:r>
        <w:rPr>
          <w:rFonts w:ascii="Arial" w:hAnsi="Arial" w:cs="Arial"/>
          <w:sz w:val="24"/>
          <w:szCs w:val="24"/>
        </w:rPr>
        <w:t xml:space="preserve"> </w:t>
      </w:r>
      <w:r w:rsidRPr="00915B66">
        <w:rPr>
          <w:rFonts w:ascii="Arial" w:hAnsi="Arial" w:cs="Arial"/>
          <w:sz w:val="24"/>
          <w:szCs w:val="24"/>
        </w:rPr>
        <w:t>publicação</w:t>
      </w:r>
    </w:p>
    <w:sectPr w:rsidR="00440B51" w:rsidRPr="00915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66"/>
    <w:rsid w:val="00440B51"/>
    <w:rsid w:val="008933BC"/>
    <w:rsid w:val="00915B66"/>
    <w:rsid w:val="00D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F968"/>
  <w15:chartTrackingRefBased/>
  <w15:docId w15:val="{0595B0AE-E7FF-48D2-91D4-1EAD90F8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3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.sp.gov.br/repositorio/legislacao/decreto/2000/decreto-45490-30.11.2000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</dc:creator>
  <cp:keywords/>
  <dc:description/>
  <cp:lastModifiedBy>Edilene Gomes</cp:lastModifiedBy>
  <cp:revision>2</cp:revision>
  <dcterms:created xsi:type="dcterms:W3CDTF">2023-03-21T13:48:00Z</dcterms:created>
  <dcterms:modified xsi:type="dcterms:W3CDTF">2023-03-21T14:02:00Z</dcterms:modified>
</cp:coreProperties>
</file>