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DF" w:rsidRDefault="007317DF" w:rsidP="007317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Diário Oficial do Estado de São Paulo</w:t>
      </w:r>
    </w:p>
    <w:p w:rsidR="007317DF" w:rsidRDefault="007317DF" w:rsidP="007317DF">
      <w:pPr>
        <w:jc w:val="center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Volume 133 • Número 88 • São Paulo, terça-feira, 3 de outubro de 2023</w:t>
      </w:r>
    </w:p>
    <w:p w:rsidR="007317DF" w:rsidRPr="007317DF" w:rsidRDefault="007317DF" w:rsidP="007317DF">
      <w:pPr>
        <w:jc w:val="center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LEI Nº </w:t>
      </w:r>
      <w:bookmarkStart w:id="0" w:name="_GoBack"/>
      <w:r w:rsidRPr="007317DF">
        <w:rPr>
          <w:rFonts w:ascii="Arial" w:hAnsi="Arial" w:cs="Arial"/>
          <w:sz w:val="24"/>
          <w:szCs w:val="24"/>
        </w:rPr>
        <w:t>17.784</w:t>
      </w:r>
      <w:bookmarkEnd w:id="0"/>
      <w:r w:rsidRPr="007317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DE 02 DE OUTUBRO DE 2023</w:t>
      </w:r>
    </w:p>
    <w:p w:rsidR="007317DF" w:rsidRPr="007317DF" w:rsidRDefault="007317DF" w:rsidP="007317DF">
      <w:pPr>
        <w:ind w:left="3402"/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Altera a Lei nº 6.374, de 1º de março de 1989,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que dispõe sobre a instituição do Imposto sobre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 sobre Prestação de Serviços de Transporte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Interestadual e Intermunicipal e de Comunicação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- ICMS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O GOVERNADOR DO ESTADO DE SÃO PAULO: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Faço saber que a Assembleia Legislativa decreta e eu promulgo a seguinte lei: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Artigo 1º - Os dispositivos adiante indicados da Lei nº 6.374,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de 1º de março de 1989, passam a vigorar com 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redação: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7317DF">
        <w:rPr>
          <w:rFonts w:ascii="Arial" w:hAnsi="Arial" w:cs="Arial"/>
          <w:sz w:val="24"/>
          <w:szCs w:val="24"/>
        </w:rPr>
        <w:t>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§ 3º do artigo 85-B: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“§ 3º - A multa não poderá resultar em valor inferior a 70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(setenta) </w:t>
      </w:r>
      <w:proofErr w:type="spellStart"/>
      <w:r w:rsidRPr="007317DF">
        <w:rPr>
          <w:rFonts w:ascii="Arial" w:hAnsi="Arial" w:cs="Arial"/>
          <w:sz w:val="24"/>
          <w:szCs w:val="24"/>
        </w:rPr>
        <w:t>UFESPs</w:t>
      </w:r>
      <w:proofErr w:type="spellEnd"/>
      <w:r w:rsidRPr="007317DF">
        <w:rPr>
          <w:rFonts w:ascii="Arial" w:hAnsi="Arial" w:cs="Arial"/>
          <w:sz w:val="24"/>
          <w:szCs w:val="24"/>
        </w:rPr>
        <w:t>, não se aplicando o disposto no § 8º do artigo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95 e no § 5º do artigo 101 desta </w:t>
      </w:r>
      <w:proofErr w:type="gramStart"/>
      <w:r w:rsidRPr="007317DF">
        <w:rPr>
          <w:rFonts w:ascii="Arial" w:hAnsi="Arial" w:cs="Arial"/>
          <w:sz w:val="24"/>
          <w:szCs w:val="24"/>
        </w:rPr>
        <w:t>lei.”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7317DF">
        <w:rPr>
          <w:rFonts w:ascii="Arial" w:hAnsi="Arial" w:cs="Arial"/>
          <w:sz w:val="24"/>
          <w:szCs w:val="24"/>
        </w:rPr>
        <w:t>do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artigo 95: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a) os incisos I a IV: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"Artigo 95 - (...)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 - 70% (setenta por cento), dentro do prazo de 30 (trinta)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dias, contados da notificação da lavratura do auto de infração;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II - 55% (cinquenta e cinco por cento) até o prazo de 30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(trinta) dias, contados da intimação do julgamento da defesa;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III - 40% (quarenta por cento) até o prazo de 30 (trinta) dias,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contados da intimação do julgamento do recurso apresentado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pelo contribuinte;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7317DF">
        <w:rPr>
          <w:rFonts w:ascii="Arial" w:hAnsi="Arial" w:cs="Arial"/>
          <w:sz w:val="24"/>
          <w:szCs w:val="24"/>
        </w:rPr>
        <w:t>antes de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sua inscrição na Dívida Ativa, de: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a) 30% (trinta por cento), após 30 (trinta) dias contados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da intimação do julgamento do recurso apresentado pelo contribuinte;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40% (quarenta por cento), após o prazo de 30 (trinta) dias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contados da intimação do julgamento da defesa, quando não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apresentado recurso pelo contribuinte;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c) 55% (cinquenta e cinco por cento), quando não apresentada a defesa, o pagamento ocorrer após 30 (trinta) dias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contados da notificação da lavratura do auto de </w:t>
      </w:r>
      <w:proofErr w:type="gramStart"/>
      <w:r w:rsidRPr="007317DF">
        <w:rPr>
          <w:rFonts w:ascii="Arial" w:hAnsi="Arial" w:cs="Arial"/>
          <w:sz w:val="24"/>
          <w:szCs w:val="24"/>
        </w:rPr>
        <w:t>infração.”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o § 3º: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lastRenderedPageBreak/>
        <w:t>“§ 3º - Na hipótese de pagamento nos termos do inciso I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"caput" deste artigo, o prazo nele previsto não deve ser computado para efeito de incidência dos juros de mora e da atualização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17DF">
        <w:rPr>
          <w:rFonts w:ascii="Arial" w:hAnsi="Arial" w:cs="Arial"/>
          <w:sz w:val="24"/>
          <w:szCs w:val="24"/>
        </w:rPr>
        <w:t>monetária.”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III - as alíneas “a” a “d” do inciso I do artigo 96: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"a) a partir do primeiro dia do mês subsequente ao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vencimento, caso se trate de imposto declarado ou transcrito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pelo fisco nos termos dos artigos 56 e 58 desta lei, de parcela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devida por contribuinte enquadrado no regime de estimativa e de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imposto exigido em auto de infração, nas hipóteses das alíneas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“b”, “c”, “d”, “e”, “f”, “g”, “h”, “i”, “j” e “l” do inciso I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artigo 85 desta lei;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a partir do primeiro dia do mês subsequente ao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abrangido pelo levantamento, caso se trate de imposto exigido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em auto de infração na hipótese da alínea “a” do inciso I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artigo 85 desta lei;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c) a partir do primeiro dia do mês subsequente ao mês em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que, desconsiderada a importância creditada, o saldo tornar-se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devedor, caso se trate de imposto exigido em auto de infração,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nas hipóteses das alíneas “b”, “c”, “d”, “h”, “i” e “j” do inciso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II do artigo 85 desta lei;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d) a partir do primeiro dia do mês subsequente àquele em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que ocorra a falta de pagamento, nas demais </w:t>
      </w:r>
      <w:proofErr w:type="gramStart"/>
      <w:r w:rsidRPr="007317DF">
        <w:rPr>
          <w:rFonts w:ascii="Arial" w:hAnsi="Arial" w:cs="Arial"/>
          <w:sz w:val="24"/>
          <w:szCs w:val="24"/>
        </w:rPr>
        <w:t>hipóteses;”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7317DF">
        <w:rPr>
          <w:rFonts w:ascii="Arial" w:hAnsi="Arial" w:cs="Arial"/>
          <w:sz w:val="24"/>
          <w:szCs w:val="24"/>
        </w:rPr>
        <w:t>o “caput” e os incisos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I a IV do artigo 101: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“Artigo 101 - A multa aplicada nos termos do artigo 85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desta lei, quando o parcelamento for requerido pelo autuado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nos prazos do artigo 95 desta lei, será reduzida conforme segue: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7317DF">
        <w:rPr>
          <w:rFonts w:ascii="Arial" w:hAnsi="Arial" w:cs="Arial"/>
          <w:sz w:val="24"/>
          <w:szCs w:val="24"/>
        </w:rPr>
        <w:t>na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hipótese prevista no inciso I do artigo 95 desta lei,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tratando-se de débito parcelado em:</w:t>
      </w:r>
    </w:p>
    <w:p w:rsid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a) até 36 meses, em 55% (cinquenta e cinco por cento);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37 meses ou mais, em 40% (quarenta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7317DF">
        <w:rPr>
          <w:rFonts w:ascii="Arial" w:hAnsi="Arial" w:cs="Arial"/>
          <w:sz w:val="24"/>
          <w:szCs w:val="24"/>
        </w:rPr>
        <w:t>nas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hipóteses previstas no inciso II e na alínea “c” do inciso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IV do artigo 95 desta lei, tratando-se de débito parcelado em: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a) até 36 meses, em 40% (quarenta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37 meses ou mais, em 30% (trinta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III - nas hipóteses previstas no inciso III e na alínea “b”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inciso IV do artigo 95 desta lei, tratando-se de débito parcelado em: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a) até 36 meses, em 30% (trinta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37 meses ou mais, em 20% (vinte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7317DF">
        <w:rPr>
          <w:rFonts w:ascii="Arial" w:hAnsi="Arial" w:cs="Arial"/>
          <w:sz w:val="24"/>
          <w:szCs w:val="24"/>
        </w:rPr>
        <w:t>na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hipótese prevista na alínea “a” do inciso IV do artigo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95 desta lei, tratando-se de débito parcelado em: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lastRenderedPageBreak/>
        <w:t>a) até 36 meses, em 20% (vinte por cento);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b) 37 meses ou mais, 10% (dez por cento</w:t>
      </w:r>
      <w:proofErr w:type="gramStart"/>
      <w:r w:rsidRPr="007317DF">
        <w:rPr>
          <w:rFonts w:ascii="Arial" w:hAnsi="Arial" w:cs="Arial"/>
          <w:sz w:val="24"/>
          <w:szCs w:val="24"/>
        </w:rPr>
        <w:t>).”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Artigo 2º - Ficam acrescentados à Lei nº 6.374, de 1º de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março de 1989, os dispositivos adiante indicados, com 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redação: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7317DF">
        <w:rPr>
          <w:rFonts w:ascii="Arial" w:hAnsi="Arial" w:cs="Arial"/>
          <w:sz w:val="24"/>
          <w:szCs w:val="24"/>
        </w:rPr>
        <w:t>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artigo 85-C: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“Artigo 85-C - Decorrido o prazo estabelecido no item 1 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§ 1º do artigo 85-B desta lei e atendidas as condições previstas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neste artigo, as infrações constantes do artigo 85 desta lei ficarão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sujeitas às seguintes multas, sem prejuízo do disposto nos artigos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95 e 101 desta lei: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7317DF">
        <w:rPr>
          <w:rFonts w:ascii="Arial" w:hAnsi="Arial" w:cs="Arial"/>
          <w:sz w:val="24"/>
          <w:szCs w:val="24"/>
        </w:rPr>
        <w:t>em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havendo exigência do imposto relacionado com a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infração - multa equivalente a 50% (cinquenta por cento) 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valor do imposto;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7317DF">
        <w:rPr>
          <w:rFonts w:ascii="Arial" w:hAnsi="Arial" w:cs="Arial"/>
          <w:sz w:val="24"/>
          <w:szCs w:val="24"/>
        </w:rPr>
        <w:t>nas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demais hipóteses, multa equivalente à prevista no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artigo 85 desta lei, com redução de 30% (trinta por cento).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§ 1º - A aplicação do disposto neste artigo fica sujeita, cumulativamente, ao seguinte: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7317DF">
        <w:rPr>
          <w:rFonts w:ascii="Arial" w:hAnsi="Arial" w:cs="Arial"/>
          <w:sz w:val="24"/>
          <w:szCs w:val="24"/>
        </w:rPr>
        <w:t>deverá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ser requerida no prazo de 30 (trinta) dias, contados da intimação do julgamento da defesa ou recurso, antes de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sua inscrição na Dívida Ativa, nos termos de disciplina estabelecida em regulamento;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2 - </w:t>
      </w:r>
      <w:proofErr w:type="gramStart"/>
      <w:r w:rsidRPr="007317DF">
        <w:rPr>
          <w:rFonts w:ascii="Arial" w:hAnsi="Arial" w:cs="Arial"/>
          <w:sz w:val="24"/>
          <w:szCs w:val="24"/>
        </w:rPr>
        <w:t>deverá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haver expressa renúncia ao direito de litigar no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processo administrativo tributário e desistência do litígio pelo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autuado, nos termos de disciplina estabelecida em regulamento;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7317DF">
        <w:rPr>
          <w:rFonts w:ascii="Arial" w:hAnsi="Arial" w:cs="Arial"/>
          <w:sz w:val="24"/>
          <w:szCs w:val="24"/>
        </w:rPr>
        <w:t>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débito fiscal seja objeto de extinção ou de parcelamento em até 60 parcelas, nos termos previstos na legislação, no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prazo de 30 (trinta) dias, contados do término do prazo indicado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no item 1 deste parágrafo;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7317DF">
        <w:rPr>
          <w:rFonts w:ascii="Arial" w:hAnsi="Arial" w:cs="Arial"/>
          <w:sz w:val="24"/>
          <w:szCs w:val="24"/>
        </w:rPr>
        <w:t>não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haja imputação de dolo, fraude ou simulação.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§ 2º - O rompimento do parcelamento referido no item 3 do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§ 1º deste artigo, nos termos previstos na legislação: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7317DF">
        <w:rPr>
          <w:rFonts w:ascii="Arial" w:hAnsi="Arial" w:cs="Arial"/>
          <w:sz w:val="24"/>
          <w:szCs w:val="24"/>
        </w:rPr>
        <w:t>implica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imediato cancelamento da aplicação do disposto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neste artigo em relação ao débito remanescente, reincorporando-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se a multa aplicada nos termos do artigo 85 desta lei e tornando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o débito imediatamente exigível, com os acréscimos legais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previstos na legislação;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2 - </w:t>
      </w:r>
      <w:proofErr w:type="gramStart"/>
      <w:r w:rsidRPr="007317DF">
        <w:rPr>
          <w:rFonts w:ascii="Arial" w:hAnsi="Arial" w:cs="Arial"/>
          <w:sz w:val="24"/>
          <w:szCs w:val="24"/>
        </w:rPr>
        <w:t>acarretará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a inscrição e o ajuizamento da execução fiscal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do débito fiscal.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§ 3º - Às multas previstas neste artigo não se aplica o disposto no § 8º do artigo 95 desta </w:t>
      </w:r>
      <w:proofErr w:type="gramStart"/>
      <w:r w:rsidRPr="007317DF">
        <w:rPr>
          <w:rFonts w:ascii="Arial" w:hAnsi="Arial" w:cs="Arial"/>
          <w:sz w:val="24"/>
          <w:szCs w:val="24"/>
        </w:rPr>
        <w:t>lei.”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7317DF">
        <w:rPr>
          <w:rFonts w:ascii="Arial" w:hAnsi="Arial" w:cs="Arial"/>
          <w:sz w:val="24"/>
          <w:szCs w:val="24"/>
        </w:rPr>
        <w:t>ao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artigo 101, o § 6º: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lastRenderedPageBreak/>
        <w:t>“§ 6º - Poderá ser aplicado o desconto previsto no artigo 95,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na forma prevista em regulamento, quando o autuado: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7317DF">
        <w:rPr>
          <w:rFonts w:ascii="Arial" w:hAnsi="Arial" w:cs="Arial"/>
          <w:sz w:val="24"/>
          <w:szCs w:val="24"/>
        </w:rPr>
        <w:t>cumprir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regularmente o recolhimento de 50% (cinquenta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por cento) das parcelas do acordo de parcelamento, hipótese em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que o desconto aplicar-se-á às parcelas remanescentes;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2 - antecipar o recolhimento de todas as parcelas vincendas,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hipótese em que o desconto aplicar-se-á ao saldo </w:t>
      </w:r>
      <w:proofErr w:type="gramStart"/>
      <w:r w:rsidRPr="007317DF">
        <w:rPr>
          <w:rFonts w:ascii="Arial" w:hAnsi="Arial" w:cs="Arial"/>
          <w:sz w:val="24"/>
          <w:szCs w:val="24"/>
        </w:rPr>
        <w:t>remanescente.”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III - ao artigo 102, o § 4º: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“Artigo 102 - (...)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§ 4º - O débito fiscal exigido por auto de infração poderá ser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liquidado mediante a utilização de crédito acumulado ou de ressarcimento do imposto, inclusive nas hipóteses de retenção antecipada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por substituição tributária ou créditos do produtor rural, próprio ou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adquirido de terceiros, nos termos e condições estabelecidos em ato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 xml:space="preserve">do Secretário da Fazenda e </w:t>
      </w:r>
      <w:proofErr w:type="gramStart"/>
      <w:r w:rsidRPr="007317DF">
        <w:rPr>
          <w:rFonts w:ascii="Arial" w:hAnsi="Arial" w:cs="Arial"/>
          <w:sz w:val="24"/>
          <w:szCs w:val="24"/>
        </w:rPr>
        <w:t>Planejamento.”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(NR)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Artigo 3º - No prazo de 30 (trinta) dias, contados da data da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publicação da regulamentação do artigo 85-C, o autuado poderá,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mediante a apresentação de requerimento e observadas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condições estabelecidas nesta Lei e na legislação vigente: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I - Pagar a multa com os descontos previstos no inciso II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do artigo 101, ambos da Lei nº 6.374, de 1º de março de 1989,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independentemente da fase processual em que os autos se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encontrarem no contencioso administrativo;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7317DF">
        <w:rPr>
          <w:rFonts w:ascii="Arial" w:hAnsi="Arial" w:cs="Arial"/>
          <w:sz w:val="24"/>
          <w:szCs w:val="24"/>
        </w:rPr>
        <w:t>ter</w:t>
      </w:r>
      <w:proofErr w:type="gramEnd"/>
      <w:r w:rsidRPr="007317DF">
        <w:rPr>
          <w:rFonts w:ascii="Arial" w:hAnsi="Arial" w:cs="Arial"/>
          <w:sz w:val="24"/>
          <w:szCs w:val="24"/>
        </w:rPr>
        <w:t xml:space="preserve"> a multa aplicada nos termos dos incisos I e II do artigo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85-C desta Lei, mesmo que decorrido o prazo previsto em seu §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1º e enquanto não inscrito o débito fiscal em dívida ativa.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Artigo 4º - Ficam revogados os incisos V dos artigos 95 e 101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da Lei nº 6.374, de 1º de março de 1989.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Artigo 5º - Esta lei entra em vigor na data de sua publicação,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exceto em relação ao disposto no inciso III do artigo 1º, que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entrará em vigor a partir do primeiro dia do mês subsequente ao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da publicação desta lei.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Parágrafo único - A aplicação do disposto nos artigos 1º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 2º desta lei fica condicionada à regulamentação pelo Poder</w:t>
      </w:r>
      <w:r>
        <w:rPr>
          <w:rFonts w:ascii="Arial" w:hAnsi="Arial" w:cs="Arial"/>
          <w:sz w:val="24"/>
          <w:szCs w:val="24"/>
        </w:rPr>
        <w:t xml:space="preserve"> </w:t>
      </w:r>
      <w:r w:rsidRPr="007317DF">
        <w:rPr>
          <w:rFonts w:ascii="Arial" w:hAnsi="Arial" w:cs="Arial"/>
          <w:sz w:val="24"/>
          <w:szCs w:val="24"/>
        </w:rPr>
        <w:t>Executivo, exceto o disposto no inciso III do artigo 1º desta lei.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Palácio dos Bandeirantes, 02 de outubro de 2023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TARCÍSIO DE FREITAS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 xml:space="preserve">Samuel </w:t>
      </w:r>
      <w:proofErr w:type="spellStart"/>
      <w:r w:rsidRPr="007317DF">
        <w:rPr>
          <w:rFonts w:ascii="Arial" w:hAnsi="Arial" w:cs="Arial"/>
          <w:sz w:val="24"/>
          <w:szCs w:val="24"/>
        </w:rPr>
        <w:t>Kinoshita</w:t>
      </w:r>
      <w:proofErr w:type="spellEnd"/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Secretário da Fazenda e Planejamento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Gilberto Kassab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lastRenderedPageBreak/>
        <w:t>Secretário de Governo e Relações Institucionais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Arthur Luis Pinho de Lima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Secretário-Chefe da Casa Civil</w:t>
      </w:r>
    </w:p>
    <w:p w:rsidR="007317DF" w:rsidRPr="007317DF" w:rsidRDefault="007317DF" w:rsidP="007317DF">
      <w:pPr>
        <w:jc w:val="both"/>
        <w:rPr>
          <w:rFonts w:ascii="Arial" w:hAnsi="Arial" w:cs="Arial"/>
          <w:sz w:val="24"/>
          <w:szCs w:val="24"/>
        </w:rPr>
      </w:pPr>
      <w:r w:rsidRPr="007317DF">
        <w:rPr>
          <w:rFonts w:ascii="Arial" w:hAnsi="Arial" w:cs="Arial"/>
          <w:sz w:val="24"/>
          <w:szCs w:val="24"/>
        </w:rPr>
        <w:t>Publicada na Assessoria Técnico-Legislativa, em 02 de outubro de 2023.</w:t>
      </w:r>
    </w:p>
    <w:sectPr w:rsidR="007317DF" w:rsidRPr="00731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DF"/>
    <w:rsid w:val="0025445F"/>
    <w:rsid w:val="003F605D"/>
    <w:rsid w:val="007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1B6"/>
  <w15:chartTrackingRefBased/>
  <w15:docId w15:val="{B6FC4230-E2AF-4A47-B50C-14F89360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2023-10-03T14:37:00Z</dcterms:created>
  <dcterms:modified xsi:type="dcterms:W3CDTF">2023-10-03T14:45:00Z</dcterms:modified>
</cp:coreProperties>
</file>