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5431D" w14:textId="42CDC37F" w:rsidR="001162AC" w:rsidRPr="001162AC" w:rsidRDefault="001162AC" w:rsidP="001162AC">
      <w:pPr>
        <w:shd w:val="clear" w:color="auto" w:fill="FFFFFF"/>
        <w:spacing w:before="180" w:after="0" w:line="240" w:lineRule="auto"/>
        <w:jc w:val="center"/>
        <w:outlineLvl w:val="1"/>
        <w:rPr>
          <w:rFonts w:ascii="Arial" w:eastAsia="Times New Roman" w:hAnsi="Arial" w:cs="Arial"/>
          <w:kern w:val="0"/>
          <w:sz w:val="24"/>
          <w:szCs w:val="24"/>
          <w:lang w:eastAsia="pt-BR"/>
          <w14:ligatures w14:val="none"/>
        </w:rPr>
      </w:pPr>
      <w:bookmarkStart w:id="0" w:name="_GoBack"/>
      <w:bookmarkEnd w:id="0"/>
      <w:r w:rsidRPr="001162AC">
        <w:rPr>
          <w:rFonts w:ascii="Arial" w:eastAsia="Times New Roman" w:hAnsi="Arial" w:cs="Arial"/>
          <w:kern w:val="0"/>
          <w:sz w:val="24"/>
          <w:szCs w:val="24"/>
          <w:lang w:eastAsia="pt-BR"/>
          <w14:ligatures w14:val="none"/>
        </w:rPr>
        <w:t>Diário Oficial Da União</w:t>
      </w:r>
      <w:r>
        <w:rPr>
          <w:rFonts w:ascii="Arial" w:eastAsia="Times New Roman" w:hAnsi="Arial" w:cs="Arial"/>
          <w:kern w:val="0"/>
          <w:sz w:val="24"/>
          <w:szCs w:val="24"/>
          <w:lang w:eastAsia="pt-BR"/>
          <w14:ligatures w14:val="none"/>
        </w:rPr>
        <w:t xml:space="preserve"> - </w:t>
      </w:r>
      <w:r w:rsidRPr="001162AC">
        <w:rPr>
          <w:rFonts w:ascii="Arial" w:eastAsia="Times New Roman" w:hAnsi="Arial" w:cs="Arial"/>
          <w:kern w:val="0"/>
          <w:sz w:val="24"/>
          <w:szCs w:val="24"/>
          <w:lang w:eastAsia="pt-BR"/>
          <w14:ligatures w14:val="none"/>
        </w:rPr>
        <w:t>30/11/2023 | Edição: 227 | Seção: 1 | Página: 1</w:t>
      </w:r>
    </w:p>
    <w:p w14:paraId="004EF15A" w14:textId="77777777" w:rsidR="001162AC" w:rsidRDefault="001162AC" w:rsidP="001162AC">
      <w:pPr>
        <w:shd w:val="clear" w:color="auto" w:fill="FFFFFF"/>
        <w:spacing w:before="30" w:after="45" w:line="240" w:lineRule="auto"/>
        <w:jc w:val="center"/>
        <w:rPr>
          <w:rFonts w:ascii="Arial" w:eastAsia="Times New Roman" w:hAnsi="Arial" w:cs="Arial"/>
          <w:b/>
          <w:bCs/>
          <w:kern w:val="0"/>
          <w:sz w:val="24"/>
          <w:szCs w:val="24"/>
          <w:lang w:eastAsia="pt-BR"/>
          <w14:ligatures w14:val="none"/>
        </w:rPr>
      </w:pPr>
    </w:p>
    <w:p w14:paraId="0A7C834F" w14:textId="0AAF40A0" w:rsidR="001162AC" w:rsidRPr="001162AC" w:rsidRDefault="001162AC" w:rsidP="001162AC">
      <w:pPr>
        <w:shd w:val="clear" w:color="auto" w:fill="FFFFFF"/>
        <w:spacing w:before="30" w:after="45" w:line="240" w:lineRule="auto"/>
        <w:jc w:val="center"/>
        <w:rPr>
          <w:rFonts w:ascii="Arial" w:eastAsia="Times New Roman" w:hAnsi="Arial" w:cs="Arial"/>
          <w:kern w:val="0"/>
          <w:sz w:val="24"/>
          <w:szCs w:val="24"/>
          <w:lang w:eastAsia="pt-BR"/>
          <w14:ligatures w14:val="none"/>
        </w:rPr>
      </w:pPr>
      <w:r w:rsidRPr="001162AC">
        <w:rPr>
          <w:rFonts w:ascii="Arial" w:eastAsia="Times New Roman" w:hAnsi="Arial" w:cs="Arial"/>
          <w:b/>
          <w:bCs/>
          <w:kern w:val="0"/>
          <w:sz w:val="24"/>
          <w:szCs w:val="24"/>
          <w:lang w:eastAsia="pt-BR"/>
          <w14:ligatures w14:val="none"/>
        </w:rPr>
        <w:t>Atos do Poder Legislativo</w:t>
      </w:r>
    </w:p>
    <w:p w14:paraId="65C62405" w14:textId="77777777" w:rsidR="001162AC" w:rsidRPr="001162AC" w:rsidRDefault="001162AC" w:rsidP="001162AC">
      <w:pPr>
        <w:shd w:val="clear" w:color="auto" w:fill="FFFFFF"/>
        <w:spacing w:before="450" w:after="450" w:line="240" w:lineRule="auto"/>
        <w:jc w:val="center"/>
        <w:rPr>
          <w:rFonts w:ascii="Arial" w:eastAsia="Times New Roman" w:hAnsi="Arial" w:cs="Arial"/>
          <w:b/>
          <w:bCs/>
          <w:caps/>
          <w:kern w:val="0"/>
          <w:sz w:val="24"/>
          <w:szCs w:val="24"/>
          <w:lang w:eastAsia="pt-BR"/>
          <w14:ligatures w14:val="none"/>
        </w:rPr>
      </w:pPr>
      <w:r w:rsidRPr="001162AC">
        <w:rPr>
          <w:rFonts w:ascii="Arial" w:eastAsia="Times New Roman" w:hAnsi="Arial" w:cs="Arial"/>
          <w:b/>
          <w:bCs/>
          <w:caps/>
          <w:kern w:val="0"/>
          <w:sz w:val="24"/>
          <w:szCs w:val="24"/>
          <w:lang w:eastAsia="pt-BR"/>
          <w14:ligatures w14:val="none"/>
        </w:rPr>
        <w:t>LEI Nº 14.740, DE 29 DE NOVEMBRO DE 2023</w:t>
      </w:r>
    </w:p>
    <w:p w14:paraId="7D60C81A" w14:textId="77777777" w:rsidR="001162AC" w:rsidRPr="001162AC" w:rsidRDefault="001162AC" w:rsidP="001162AC">
      <w:pPr>
        <w:shd w:val="clear" w:color="auto" w:fill="FFFFFF"/>
        <w:spacing w:after="450" w:line="240" w:lineRule="auto"/>
        <w:ind w:left="3402"/>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Dispõe sobre a autorregularização incentivada de tributos administrados pela Secretaria Especial da Receita Federal do Brasil do Ministério da Fazenda.</w:t>
      </w:r>
    </w:p>
    <w:p w14:paraId="04E98A0E" w14:textId="06762396"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b/>
          <w:bCs/>
          <w:kern w:val="0"/>
          <w:sz w:val="24"/>
          <w:szCs w:val="24"/>
          <w:lang w:eastAsia="pt-BR"/>
          <w14:ligatures w14:val="none"/>
        </w:rPr>
        <w:t>O VICE-PRESIDENTE DA REPÚBLICA</w:t>
      </w:r>
      <w:r w:rsidRPr="001162AC">
        <w:rPr>
          <w:rFonts w:ascii="Arial" w:eastAsia="Times New Roman" w:hAnsi="Arial" w:cs="Arial"/>
          <w:kern w:val="0"/>
          <w:sz w:val="24"/>
          <w:szCs w:val="24"/>
          <w:lang w:eastAsia="pt-BR"/>
          <w14:ligatures w14:val="none"/>
        </w:rPr>
        <w:t>, no exercício do cargo de</w:t>
      </w:r>
      <w:r>
        <w:rPr>
          <w:rFonts w:ascii="Arial" w:eastAsia="Times New Roman" w:hAnsi="Arial" w:cs="Arial"/>
          <w:kern w:val="0"/>
          <w:sz w:val="24"/>
          <w:szCs w:val="24"/>
          <w:lang w:eastAsia="pt-BR"/>
          <w14:ligatures w14:val="none"/>
        </w:rPr>
        <w:t xml:space="preserve"> </w:t>
      </w:r>
      <w:r w:rsidRPr="001162AC">
        <w:rPr>
          <w:rFonts w:ascii="Arial" w:eastAsia="Times New Roman" w:hAnsi="Arial" w:cs="Arial"/>
          <w:b/>
          <w:bCs/>
          <w:kern w:val="0"/>
          <w:sz w:val="24"/>
          <w:szCs w:val="24"/>
          <w:lang w:eastAsia="pt-BR"/>
          <w14:ligatures w14:val="none"/>
        </w:rPr>
        <w:t>PRESIDENTE DA REPÚBLICA</w:t>
      </w:r>
    </w:p>
    <w:p w14:paraId="0E61F143"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Faço saber que o Congresso Nacional decreta e eu sanciono a seguinte Lei:</w:t>
      </w:r>
    </w:p>
    <w:p w14:paraId="5E715754"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Art. 1º Esta Lei dispõe sobre a autorregularização incentivada de tributos administrados pela Secretaria Especial da Receita Federal do Brasil do Ministério da Fazenda.</w:t>
      </w:r>
    </w:p>
    <w:p w14:paraId="3D301000"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Art. 2º O sujeito passivo poderá aderir à autorregularização até 90 (noventa) dias após a regulamentação desta Lei, por meio da confissão e do pagamento ou parcelamento do valor integral dos tributos por ele confessados, acrescidos dos juros de que trata o § 1º do art. 3º desta Lei, com afastamento da incidência das multas de mora e de ofício.</w:t>
      </w:r>
    </w:p>
    <w:p w14:paraId="77E2ABB6"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xml:space="preserve">§ 1º O disposto </w:t>
      </w:r>
      <w:proofErr w:type="spellStart"/>
      <w:r w:rsidRPr="001162AC">
        <w:rPr>
          <w:rFonts w:ascii="Arial" w:eastAsia="Times New Roman" w:hAnsi="Arial" w:cs="Arial"/>
          <w:kern w:val="0"/>
          <w:sz w:val="24"/>
          <w:szCs w:val="24"/>
          <w:lang w:eastAsia="pt-BR"/>
          <w14:ligatures w14:val="none"/>
        </w:rPr>
        <w:t>no</w:t>
      </w:r>
      <w:r w:rsidRPr="001162AC">
        <w:rPr>
          <w:rFonts w:ascii="Arial" w:eastAsia="Times New Roman" w:hAnsi="Arial" w:cs="Arial"/>
          <w:b/>
          <w:bCs/>
          <w:kern w:val="0"/>
          <w:sz w:val="24"/>
          <w:szCs w:val="24"/>
          <w:lang w:eastAsia="pt-BR"/>
          <w14:ligatures w14:val="none"/>
        </w:rPr>
        <w:t>caput</w:t>
      </w:r>
      <w:r w:rsidRPr="001162AC">
        <w:rPr>
          <w:rFonts w:ascii="Arial" w:eastAsia="Times New Roman" w:hAnsi="Arial" w:cs="Arial"/>
          <w:kern w:val="0"/>
          <w:sz w:val="24"/>
          <w:szCs w:val="24"/>
          <w:lang w:eastAsia="pt-BR"/>
          <w14:ligatures w14:val="none"/>
        </w:rPr>
        <w:t>deste</w:t>
      </w:r>
      <w:proofErr w:type="spellEnd"/>
      <w:r w:rsidRPr="001162AC">
        <w:rPr>
          <w:rFonts w:ascii="Arial" w:eastAsia="Times New Roman" w:hAnsi="Arial" w:cs="Arial"/>
          <w:kern w:val="0"/>
          <w:sz w:val="24"/>
          <w:szCs w:val="24"/>
          <w:lang w:eastAsia="pt-BR"/>
          <w14:ligatures w14:val="none"/>
        </w:rPr>
        <w:t xml:space="preserve"> artigo aplica-se aos:</w:t>
      </w:r>
    </w:p>
    <w:p w14:paraId="4DE24B8B"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I - tributos administrados pela Secretaria Especial da Receita Federal do Brasil que ainda não tenham sido constituídos até a data de publicação desta Lei, inclusive em relação aos quais já tenha sido iniciado procedimento de fiscalização; e</w:t>
      </w:r>
    </w:p>
    <w:p w14:paraId="7D78F905"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II - créditos tributários que venham a ser constituídos entre a data de publicação desta Lei e o termo final do prazo de adesão.</w:t>
      </w:r>
    </w:p>
    <w:p w14:paraId="24F639BE"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2º A autorregularização incentivada abrange todos os tributos administrados pela Secretaria da Receita Federal do Brasil, incluídos os créditos tributários decorrentes de auto de infração, de notificação de lançamento e de despachos decisórios que não homologuem total ou parcialmente a declaração de compensação, observado o disposto no § 1º deste artigo.</w:t>
      </w:r>
    </w:p>
    <w:p w14:paraId="1511EA7E"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3º Os tributos não constituídos, incluídos pelo sujeito passivo na autorregularização, serão confessados por meio da retificação das correspondentes declarações e escriturações.</w:t>
      </w:r>
    </w:p>
    <w:p w14:paraId="6B5DADA7"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4º Não poderão ser objeto de autorregularização os débitos apurados na forma do Regime Especial Unificado de Arrecadação de Tributos e Contribuições devidos pelas Microempresas e Empresas de Pequeno Porte (Simples Nacional), instituído pela Lei Complementar nº 123, de 14 de dezembro de 2006.</w:t>
      </w:r>
    </w:p>
    <w:p w14:paraId="03DBBD42"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lastRenderedPageBreak/>
        <w:t>Art. 3º O sujeito passivo que aderir à autorregularização de que trata esta Lei poderá liquidar os débitos com redução de 100% (cem por cento) dos juros de mora, mediante o pagamento:</w:t>
      </w:r>
    </w:p>
    <w:p w14:paraId="1FF83B82"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I - de, no mínimo, 50% (cinquenta por cento) do débito à vista; e</w:t>
      </w:r>
    </w:p>
    <w:p w14:paraId="110FBC5A"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II - do restante em até 48 (quarenta e oito) prestações mensais e sucessivas.</w:t>
      </w:r>
    </w:p>
    <w:p w14:paraId="23B97F2C"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1º O valor de cada prestação mensal, por ocasião do pagamento, será acrescido de juros equivalentes à taxa referencial do Sistema Especial de Liquidação e de Custódia (Selic) para títulos federais, acumulada mensalmente, calculados a partir do mês subsequente ao da consolidação até o mês anterior ao do pagamento, e de 1% (um por cento) relativamente ao mês em que o pagamento for efetuado.</w:t>
      </w:r>
    </w:p>
    <w:p w14:paraId="1E50707C"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xml:space="preserve">§ 2º Para efeito do disposto no inciso I </w:t>
      </w:r>
      <w:proofErr w:type="spellStart"/>
      <w:r w:rsidRPr="001162AC">
        <w:rPr>
          <w:rFonts w:ascii="Arial" w:eastAsia="Times New Roman" w:hAnsi="Arial" w:cs="Arial"/>
          <w:kern w:val="0"/>
          <w:sz w:val="24"/>
          <w:szCs w:val="24"/>
          <w:lang w:eastAsia="pt-BR"/>
          <w14:ligatures w14:val="none"/>
        </w:rPr>
        <w:t>do</w:t>
      </w:r>
      <w:r w:rsidRPr="001162AC">
        <w:rPr>
          <w:rFonts w:ascii="Arial" w:eastAsia="Times New Roman" w:hAnsi="Arial" w:cs="Arial"/>
          <w:b/>
          <w:bCs/>
          <w:kern w:val="0"/>
          <w:sz w:val="24"/>
          <w:szCs w:val="24"/>
          <w:lang w:eastAsia="pt-BR"/>
          <w14:ligatures w14:val="none"/>
        </w:rPr>
        <w:t>caput</w:t>
      </w:r>
      <w:r w:rsidRPr="001162AC">
        <w:rPr>
          <w:rFonts w:ascii="Arial" w:eastAsia="Times New Roman" w:hAnsi="Arial" w:cs="Arial"/>
          <w:kern w:val="0"/>
          <w:sz w:val="24"/>
          <w:szCs w:val="24"/>
          <w:lang w:eastAsia="pt-BR"/>
          <w14:ligatures w14:val="none"/>
        </w:rPr>
        <w:t>deste</w:t>
      </w:r>
      <w:proofErr w:type="spellEnd"/>
      <w:r w:rsidRPr="001162AC">
        <w:rPr>
          <w:rFonts w:ascii="Arial" w:eastAsia="Times New Roman" w:hAnsi="Arial" w:cs="Arial"/>
          <w:kern w:val="0"/>
          <w:sz w:val="24"/>
          <w:szCs w:val="24"/>
          <w:lang w:eastAsia="pt-BR"/>
          <w14:ligatures w14:val="none"/>
        </w:rPr>
        <w:t xml:space="preserve"> artigo, admite-se a utilização de créditos de prejuízo fiscal e base de cálculo negativa da Contribuição Social sobre o Lucro Líquido (CSLL) de titularidade do sujeito passivo, de pessoa jurídica controladora ou controlada, de forma direta ou indireta, ou de sociedades que sejam controladas direta ou indiretamente por uma mesma pessoa jurídica, apurados e declarados à Secretaria Especial da Receita Federal do Brasil, independentemente do ramo de atividade.</w:t>
      </w:r>
    </w:p>
    <w:p w14:paraId="0EF8130D"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3º O valor dos créditos a que se refere o § 2º deste artigo será determinado, na forma da regulamentação:</w:t>
      </w:r>
    </w:p>
    <w:p w14:paraId="5DFF9092"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I - por meio da aplicação das alíquotas do Imposto sobre a Renda das Pessoas Jurídicas (IRPJ) previstas no art. 3º da Lei nº 9.249, de 26 de dezembro de 1995, sobre o montante do prejuízo fiscal;</w:t>
      </w:r>
    </w:p>
    <w:p w14:paraId="305A0961"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II - por meio da aplicação das alíquotas da CSLL previstas no art. 3º da Lei nº 7.689, de 15 de dezembro de 1988, sobre o montante da base de cálculo negativa da contribuição.</w:t>
      </w:r>
    </w:p>
    <w:p w14:paraId="0926AE00"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4º A utilização dos créditos a que se refere o § 2º deste artigo está limitada a 50% (cinquenta por cento) do valor total do débito a ser quitado, nos termos do art. 2º desta Lei, e extingue os débitos sob condição resolutória de sua ulterior homologação.</w:t>
      </w:r>
    </w:p>
    <w:p w14:paraId="2BEDEEB9"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5º A Secretaria Especial da Receita Federal do Brasil dispõe do prazo de 5 (cinco) anos para a análise dos créditos utilizados na forma do § 2º deste artigo.</w:t>
      </w:r>
    </w:p>
    <w:p w14:paraId="61EBF5F0"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xml:space="preserve">§ 6º Durante a realização do previsto </w:t>
      </w:r>
      <w:proofErr w:type="spellStart"/>
      <w:r w:rsidRPr="001162AC">
        <w:rPr>
          <w:rFonts w:ascii="Arial" w:eastAsia="Times New Roman" w:hAnsi="Arial" w:cs="Arial"/>
          <w:kern w:val="0"/>
          <w:sz w:val="24"/>
          <w:szCs w:val="24"/>
          <w:lang w:eastAsia="pt-BR"/>
          <w14:ligatures w14:val="none"/>
        </w:rPr>
        <w:t>no</w:t>
      </w:r>
      <w:r w:rsidRPr="001162AC">
        <w:rPr>
          <w:rFonts w:ascii="Arial" w:eastAsia="Times New Roman" w:hAnsi="Arial" w:cs="Arial"/>
          <w:b/>
          <w:bCs/>
          <w:kern w:val="0"/>
          <w:sz w:val="24"/>
          <w:szCs w:val="24"/>
          <w:lang w:eastAsia="pt-BR"/>
          <w14:ligatures w14:val="none"/>
        </w:rPr>
        <w:t>caput</w:t>
      </w:r>
      <w:r w:rsidRPr="001162AC">
        <w:rPr>
          <w:rFonts w:ascii="Arial" w:eastAsia="Times New Roman" w:hAnsi="Arial" w:cs="Arial"/>
          <w:kern w:val="0"/>
          <w:sz w:val="24"/>
          <w:szCs w:val="24"/>
          <w:lang w:eastAsia="pt-BR"/>
          <w14:ligatures w14:val="none"/>
        </w:rPr>
        <w:t>deste</w:t>
      </w:r>
      <w:proofErr w:type="spellEnd"/>
      <w:r w:rsidRPr="001162AC">
        <w:rPr>
          <w:rFonts w:ascii="Arial" w:eastAsia="Times New Roman" w:hAnsi="Arial" w:cs="Arial"/>
          <w:kern w:val="0"/>
          <w:sz w:val="24"/>
          <w:szCs w:val="24"/>
          <w:lang w:eastAsia="pt-BR"/>
          <w14:ligatures w14:val="none"/>
        </w:rPr>
        <w:t xml:space="preserve"> artigo e enquanto vigorar a autorregularização, os créditos tributários por ela abrangidos não serão óbice à emissão de certidão de regularidade fiscal, nos termos do art. 206 da Lei nº 5.172, de 25 de outubro de 1966 (Código Tributário Nacional).</w:t>
      </w:r>
    </w:p>
    <w:p w14:paraId="3446E403"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xml:space="preserve">§ 7º O pagamento previsto no inciso I </w:t>
      </w:r>
      <w:proofErr w:type="spellStart"/>
      <w:r w:rsidRPr="001162AC">
        <w:rPr>
          <w:rFonts w:ascii="Arial" w:eastAsia="Times New Roman" w:hAnsi="Arial" w:cs="Arial"/>
          <w:kern w:val="0"/>
          <w:sz w:val="24"/>
          <w:szCs w:val="24"/>
          <w:lang w:eastAsia="pt-BR"/>
          <w14:ligatures w14:val="none"/>
        </w:rPr>
        <w:t>do</w:t>
      </w:r>
      <w:r w:rsidRPr="001162AC">
        <w:rPr>
          <w:rFonts w:ascii="Arial" w:eastAsia="Times New Roman" w:hAnsi="Arial" w:cs="Arial"/>
          <w:b/>
          <w:bCs/>
          <w:kern w:val="0"/>
          <w:sz w:val="24"/>
          <w:szCs w:val="24"/>
          <w:lang w:eastAsia="pt-BR"/>
          <w14:ligatures w14:val="none"/>
        </w:rPr>
        <w:t>caput</w:t>
      </w:r>
      <w:r w:rsidRPr="001162AC">
        <w:rPr>
          <w:rFonts w:ascii="Arial" w:eastAsia="Times New Roman" w:hAnsi="Arial" w:cs="Arial"/>
          <w:kern w:val="0"/>
          <w:sz w:val="24"/>
          <w:szCs w:val="24"/>
          <w:lang w:eastAsia="pt-BR"/>
          <w14:ligatures w14:val="none"/>
        </w:rPr>
        <w:t>deste</w:t>
      </w:r>
      <w:proofErr w:type="spellEnd"/>
      <w:r w:rsidRPr="001162AC">
        <w:rPr>
          <w:rFonts w:ascii="Arial" w:eastAsia="Times New Roman" w:hAnsi="Arial" w:cs="Arial"/>
          <w:kern w:val="0"/>
          <w:sz w:val="24"/>
          <w:szCs w:val="24"/>
          <w:lang w:eastAsia="pt-BR"/>
          <w14:ligatures w14:val="none"/>
        </w:rPr>
        <w:t xml:space="preserve"> artigo compreende o uso de precatórios próprios ou adquiridos de terceiros, na forma do § 11 do art. 100 da Constituição Federal.</w:t>
      </w:r>
    </w:p>
    <w:p w14:paraId="1EA6092E"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xml:space="preserve">§ 8º Para fins do disposto no § 2º deste artigo, inclui-se também como controlada a sociedade na qual a participação da controladora seja igual ou inferior a 50% (cinquenta por cento), desde que exista acordo de acionistas que </w:t>
      </w:r>
      <w:r w:rsidRPr="001162AC">
        <w:rPr>
          <w:rFonts w:ascii="Arial" w:eastAsia="Times New Roman" w:hAnsi="Arial" w:cs="Arial"/>
          <w:kern w:val="0"/>
          <w:sz w:val="24"/>
          <w:szCs w:val="24"/>
          <w:lang w:eastAsia="pt-BR"/>
          <w14:ligatures w14:val="none"/>
        </w:rPr>
        <w:lastRenderedPageBreak/>
        <w:t>assegure, de modo permanente, a preponderância individual ou comum nas deliberações sociais e o poder individual ou comum de eleger a maioria dos administradores.</w:t>
      </w:r>
    </w:p>
    <w:p w14:paraId="62BAE521"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xml:space="preserve">Art. 4º Relativamente à cessão de precatórios e créditos de prejuízo fiscal e base de cálculo negativa da CSLL para pessoas jurídicas controladas, controladoras ou </w:t>
      </w:r>
      <w:proofErr w:type="spellStart"/>
      <w:r w:rsidRPr="001162AC">
        <w:rPr>
          <w:rFonts w:ascii="Arial" w:eastAsia="Times New Roman" w:hAnsi="Arial" w:cs="Arial"/>
          <w:kern w:val="0"/>
          <w:sz w:val="24"/>
          <w:szCs w:val="24"/>
          <w:lang w:eastAsia="pt-BR"/>
          <w14:ligatures w14:val="none"/>
        </w:rPr>
        <w:t>coligadaspara</w:t>
      </w:r>
      <w:proofErr w:type="spellEnd"/>
      <w:r w:rsidRPr="001162AC">
        <w:rPr>
          <w:rFonts w:ascii="Arial" w:eastAsia="Times New Roman" w:hAnsi="Arial" w:cs="Arial"/>
          <w:kern w:val="0"/>
          <w:sz w:val="24"/>
          <w:szCs w:val="24"/>
          <w:lang w:eastAsia="pt-BR"/>
          <w14:ligatures w14:val="none"/>
        </w:rPr>
        <w:t xml:space="preserve"> a realização da autorregularização prevista nesta Lei:</w:t>
      </w:r>
    </w:p>
    <w:p w14:paraId="36F4FE67"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I - os ganhos ou receitas, se houver, registrados contabilmente pela cedente e pela cessionária em decorrência da cessão não serão computados na apuração da base de cálculo do IRPJ, da CSLL, da Contribuição para os Programas de Integração Social e de Formação do Patrimônio do Servidor Público (Contribuição para o PIS/Pasep) e da Contribuição para o Financiamento da Seguridade Social (</w:t>
      </w:r>
      <w:proofErr w:type="spellStart"/>
      <w:r w:rsidRPr="001162AC">
        <w:rPr>
          <w:rFonts w:ascii="Arial" w:eastAsia="Times New Roman" w:hAnsi="Arial" w:cs="Arial"/>
          <w:kern w:val="0"/>
          <w:sz w:val="24"/>
          <w:szCs w:val="24"/>
          <w:lang w:eastAsia="pt-BR"/>
          <w14:ligatures w14:val="none"/>
        </w:rPr>
        <w:t>Cofins</w:t>
      </w:r>
      <w:proofErr w:type="spellEnd"/>
      <w:r w:rsidRPr="001162AC">
        <w:rPr>
          <w:rFonts w:ascii="Arial" w:eastAsia="Times New Roman" w:hAnsi="Arial" w:cs="Arial"/>
          <w:kern w:val="0"/>
          <w:sz w:val="24"/>
          <w:szCs w:val="24"/>
          <w:lang w:eastAsia="pt-BR"/>
          <w14:ligatures w14:val="none"/>
        </w:rPr>
        <w:t>);</w:t>
      </w:r>
    </w:p>
    <w:p w14:paraId="6FD07FF8"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II - as perdas, se houver, registradas contabilmente pela cedente em decorrência da cessão serão consideradas dedutíveis na apuração da base de cálculo do IRPJ e da CSLL.</w:t>
      </w:r>
    </w:p>
    <w:p w14:paraId="2CCA4308"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 xml:space="preserve">Art. 5º Não será computada na apuração da base de cálculo do IRPJ, da CSLL, da Contribuição para o PIS/Pasep e da </w:t>
      </w:r>
      <w:proofErr w:type="spellStart"/>
      <w:r w:rsidRPr="001162AC">
        <w:rPr>
          <w:rFonts w:ascii="Arial" w:eastAsia="Times New Roman" w:hAnsi="Arial" w:cs="Arial"/>
          <w:kern w:val="0"/>
          <w:sz w:val="24"/>
          <w:szCs w:val="24"/>
          <w:lang w:eastAsia="pt-BR"/>
          <w14:ligatures w14:val="none"/>
        </w:rPr>
        <w:t>Cofins</w:t>
      </w:r>
      <w:proofErr w:type="spellEnd"/>
      <w:r w:rsidRPr="001162AC">
        <w:rPr>
          <w:rFonts w:ascii="Arial" w:eastAsia="Times New Roman" w:hAnsi="Arial" w:cs="Arial"/>
          <w:kern w:val="0"/>
          <w:sz w:val="24"/>
          <w:szCs w:val="24"/>
          <w:lang w:eastAsia="pt-BR"/>
          <w14:ligatures w14:val="none"/>
        </w:rPr>
        <w:t xml:space="preserve"> a parcela equivalente à redução das multas e dos juros em decorrência da autorregularização de que trata esta Lei.</w:t>
      </w:r>
    </w:p>
    <w:p w14:paraId="667A6026"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Art. 6º Esta Lei entra em vigor na data de sua publicação.</w:t>
      </w:r>
    </w:p>
    <w:p w14:paraId="7FC76E43" w14:textId="77777777" w:rsidR="001162AC" w:rsidRPr="001162AC" w:rsidRDefault="001162AC" w:rsidP="001162AC">
      <w:pPr>
        <w:shd w:val="clear" w:color="auto" w:fill="FFFFFF"/>
        <w:spacing w:after="150" w:line="240" w:lineRule="auto"/>
        <w:ind w:firstLine="1200"/>
        <w:jc w:val="both"/>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Brasília, 29 de novembro de 2023; 202º da Independência e 135º da República.</w:t>
      </w:r>
    </w:p>
    <w:p w14:paraId="20DE0617" w14:textId="77777777" w:rsidR="001162AC" w:rsidRPr="001162AC" w:rsidRDefault="001162AC" w:rsidP="001162AC">
      <w:pPr>
        <w:shd w:val="clear" w:color="auto" w:fill="FFFFFF"/>
        <w:spacing w:before="300" w:after="0" w:line="240" w:lineRule="auto"/>
        <w:ind w:left="2977"/>
        <w:jc w:val="both"/>
        <w:rPr>
          <w:rFonts w:ascii="Arial" w:eastAsia="Times New Roman" w:hAnsi="Arial" w:cs="Arial"/>
          <w:b/>
          <w:bCs/>
          <w:caps/>
          <w:kern w:val="0"/>
          <w:sz w:val="24"/>
          <w:szCs w:val="24"/>
          <w:lang w:eastAsia="pt-BR"/>
          <w14:ligatures w14:val="none"/>
        </w:rPr>
      </w:pPr>
      <w:r w:rsidRPr="001162AC">
        <w:rPr>
          <w:rFonts w:ascii="Arial" w:eastAsia="Times New Roman" w:hAnsi="Arial" w:cs="Arial"/>
          <w:b/>
          <w:bCs/>
          <w:caps/>
          <w:kern w:val="0"/>
          <w:sz w:val="24"/>
          <w:szCs w:val="24"/>
          <w:lang w:eastAsia="pt-BR"/>
          <w14:ligatures w14:val="none"/>
        </w:rPr>
        <w:t>GERALDO JOSÉ RODRIGUES ALCKMIN FILHO</w:t>
      </w:r>
    </w:p>
    <w:p w14:paraId="009C5CAD" w14:textId="77777777" w:rsidR="001162AC" w:rsidRPr="001162AC" w:rsidRDefault="001162AC" w:rsidP="001162AC">
      <w:pPr>
        <w:shd w:val="clear" w:color="auto" w:fill="FFFFFF"/>
        <w:spacing w:line="240" w:lineRule="auto"/>
        <w:ind w:left="2977"/>
        <w:jc w:val="both"/>
        <w:rPr>
          <w:rFonts w:ascii="Arial" w:eastAsia="Times New Roman" w:hAnsi="Arial" w:cs="Arial"/>
          <w:i/>
          <w:iCs/>
          <w:kern w:val="0"/>
          <w:sz w:val="24"/>
          <w:szCs w:val="24"/>
          <w:lang w:eastAsia="pt-BR"/>
          <w14:ligatures w14:val="none"/>
        </w:rPr>
      </w:pPr>
      <w:r w:rsidRPr="001162AC">
        <w:rPr>
          <w:rFonts w:ascii="Arial" w:eastAsia="Times New Roman" w:hAnsi="Arial" w:cs="Arial"/>
          <w:i/>
          <w:iCs/>
          <w:kern w:val="0"/>
          <w:sz w:val="24"/>
          <w:szCs w:val="24"/>
          <w:lang w:eastAsia="pt-BR"/>
          <w14:ligatures w14:val="none"/>
        </w:rPr>
        <w:t>Fernando Haddad</w:t>
      </w:r>
    </w:p>
    <w:p w14:paraId="099C14CB" w14:textId="77777777" w:rsidR="001162AC" w:rsidRPr="001162AC" w:rsidRDefault="001162AC" w:rsidP="001162AC">
      <w:pPr>
        <w:shd w:val="clear" w:color="auto" w:fill="FFFFFF"/>
        <w:spacing w:after="0" w:line="240" w:lineRule="auto"/>
        <w:ind w:left="2977"/>
        <w:jc w:val="center"/>
        <w:rPr>
          <w:rFonts w:ascii="Arial" w:eastAsia="Times New Roman" w:hAnsi="Arial" w:cs="Arial"/>
          <w:kern w:val="0"/>
          <w:sz w:val="24"/>
          <w:szCs w:val="24"/>
          <w:lang w:eastAsia="pt-BR"/>
          <w14:ligatures w14:val="none"/>
        </w:rPr>
      </w:pPr>
      <w:r w:rsidRPr="001162AC">
        <w:rPr>
          <w:rFonts w:ascii="Arial" w:eastAsia="Times New Roman" w:hAnsi="Arial" w:cs="Arial"/>
          <w:kern w:val="0"/>
          <w:sz w:val="24"/>
          <w:szCs w:val="24"/>
          <w:lang w:eastAsia="pt-BR"/>
          <w14:ligatures w14:val="none"/>
        </w:rPr>
        <w:t>Presidente da República Federativa do Brasil</w:t>
      </w:r>
    </w:p>
    <w:p w14:paraId="1AF2BB46" w14:textId="77777777" w:rsidR="00520416" w:rsidRPr="001162AC" w:rsidRDefault="00520416">
      <w:pPr>
        <w:rPr>
          <w:rFonts w:ascii="Arial" w:hAnsi="Arial" w:cs="Arial"/>
          <w:sz w:val="24"/>
          <w:szCs w:val="24"/>
        </w:rPr>
      </w:pPr>
    </w:p>
    <w:sectPr w:rsidR="00520416" w:rsidRPr="001162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AC"/>
    <w:rsid w:val="00106A72"/>
    <w:rsid w:val="001162AC"/>
    <w:rsid w:val="0025445F"/>
    <w:rsid w:val="003F605D"/>
    <w:rsid w:val="00520416"/>
    <w:rsid w:val="00BF1B2A"/>
    <w:rsid w:val="00CD3E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2917"/>
  <w15:chartTrackingRefBased/>
  <w15:docId w15:val="{B09E54DF-515C-4FDF-A7A3-2279A51B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1162A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162AC"/>
    <w:rPr>
      <w:rFonts w:ascii="Times New Roman" w:eastAsia="Times New Roman" w:hAnsi="Times New Roman" w:cs="Times New Roman"/>
      <w:b/>
      <w:bCs/>
      <w:kern w:val="0"/>
      <w:sz w:val="36"/>
      <w:szCs w:val="36"/>
      <w:lang w:eastAsia="pt-BR"/>
      <w14:ligatures w14:val="none"/>
    </w:rPr>
  </w:style>
  <w:style w:type="paragraph" w:customStyle="1" w:styleId="text-center">
    <w:name w:val="text-center"/>
    <w:basedOn w:val="Normal"/>
    <w:rsid w:val="001162A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publicado-dou">
    <w:name w:val="publicado-dou"/>
    <w:basedOn w:val="Fontepargpadro"/>
    <w:rsid w:val="001162AC"/>
  </w:style>
  <w:style w:type="character" w:customStyle="1" w:styleId="publicado-dou-data">
    <w:name w:val="publicado-dou-data"/>
    <w:basedOn w:val="Fontepargpadro"/>
    <w:rsid w:val="001162AC"/>
  </w:style>
  <w:style w:type="character" w:customStyle="1" w:styleId="pipe">
    <w:name w:val="pipe"/>
    <w:basedOn w:val="Fontepargpadro"/>
    <w:rsid w:val="001162AC"/>
  </w:style>
  <w:style w:type="character" w:customStyle="1" w:styleId="edicao-dou">
    <w:name w:val="edicao-dou"/>
    <w:basedOn w:val="Fontepargpadro"/>
    <w:rsid w:val="001162AC"/>
  </w:style>
  <w:style w:type="character" w:customStyle="1" w:styleId="edicao-dou-data">
    <w:name w:val="edicao-dou-data"/>
    <w:basedOn w:val="Fontepargpadro"/>
    <w:rsid w:val="001162AC"/>
  </w:style>
  <w:style w:type="character" w:customStyle="1" w:styleId="secao-dou">
    <w:name w:val="secao-dou"/>
    <w:basedOn w:val="Fontepargpadro"/>
    <w:rsid w:val="001162AC"/>
  </w:style>
  <w:style w:type="character" w:customStyle="1" w:styleId="secao-dou-data">
    <w:name w:val="secao-dou-data"/>
    <w:basedOn w:val="Fontepargpadro"/>
    <w:rsid w:val="001162AC"/>
  </w:style>
  <w:style w:type="character" w:customStyle="1" w:styleId="orgao-dou">
    <w:name w:val="orgao-dou"/>
    <w:basedOn w:val="Fontepargpadro"/>
    <w:rsid w:val="001162AC"/>
  </w:style>
  <w:style w:type="character" w:customStyle="1" w:styleId="orgao-dou-data">
    <w:name w:val="orgao-dou-data"/>
    <w:basedOn w:val="Fontepargpadro"/>
    <w:rsid w:val="001162AC"/>
  </w:style>
  <w:style w:type="paragraph" w:customStyle="1" w:styleId="identifica">
    <w:name w:val="identifica"/>
    <w:basedOn w:val="Normal"/>
    <w:rsid w:val="001162A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ementa">
    <w:name w:val="ementa"/>
    <w:basedOn w:val="Normal"/>
    <w:rsid w:val="001162A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ou-paragraph">
    <w:name w:val="dou-paragraph"/>
    <w:basedOn w:val="Normal"/>
    <w:rsid w:val="001162A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1162AC"/>
    <w:rPr>
      <w:b/>
      <w:bCs/>
    </w:rPr>
  </w:style>
  <w:style w:type="paragraph" w:customStyle="1" w:styleId="assinapr">
    <w:name w:val="assinapr"/>
    <w:basedOn w:val="Normal"/>
    <w:rsid w:val="001162A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assina">
    <w:name w:val="assina"/>
    <w:basedOn w:val="Normal"/>
    <w:rsid w:val="001162A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argo">
    <w:name w:val="cargo"/>
    <w:basedOn w:val="Normal"/>
    <w:rsid w:val="001162A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538407">
      <w:bodyDiv w:val="1"/>
      <w:marLeft w:val="0"/>
      <w:marRight w:val="0"/>
      <w:marTop w:val="0"/>
      <w:marBottom w:val="0"/>
      <w:divBdr>
        <w:top w:val="none" w:sz="0" w:space="0" w:color="auto"/>
        <w:left w:val="none" w:sz="0" w:space="0" w:color="auto"/>
        <w:bottom w:val="none" w:sz="0" w:space="0" w:color="auto"/>
        <w:right w:val="none" w:sz="0" w:space="0" w:color="auto"/>
      </w:divBdr>
      <w:divsChild>
        <w:div w:id="398868960">
          <w:marLeft w:val="0"/>
          <w:marRight w:val="0"/>
          <w:marTop w:val="0"/>
          <w:marBottom w:val="0"/>
          <w:divBdr>
            <w:top w:val="none" w:sz="0" w:space="0" w:color="auto"/>
            <w:left w:val="none" w:sz="0" w:space="0" w:color="auto"/>
            <w:bottom w:val="none" w:sz="0" w:space="0" w:color="auto"/>
            <w:right w:val="none" w:sz="0" w:space="0" w:color="auto"/>
          </w:divBdr>
        </w:div>
        <w:div w:id="106059005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5481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Edilene Gomes Soares</dc:creator>
  <cp:keywords/>
  <dc:description/>
  <cp:lastModifiedBy>Alberto Borges de Carvalho Jr.</cp:lastModifiedBy>
  <cp:revision>2</cp:revision>
  <dcterms:created xsi:type="dcterms:W3CDTF">2023-11-30T19:57:00Z</dcterms:created>
  <dcterms:modified xsi:type="dcterms:W3CDTF">2023-11-30T19:57:00Z</dcterms:modified>
</cp:coreProperties>
</file>